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38"/>
        <w:gridCol w:w="4057"/>
        <w:gridCol w:w="1681"/>
        <w:gridCol w:w="13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ОТЧЕТ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КАССОВОМ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ПОСТУПЛЕНИИ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ВЫБЫТИИ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ОКУД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0503124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ноября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2014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Дата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01.11.2014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органа</w:t>
            </w:r>
          </w:p>
        </w:tc>
        <w:tc>
          <w:tcPr>
            <w:tcW w:w="44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ОКПО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 бюджета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73000000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месячная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</w:tbl>
    <w:p w:rsidR="00000000" w:rsidRDefault="0019695D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1969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270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Утвержденные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Доходы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–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15 554 580 712,25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223 510,37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1 937 500,59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передвижными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04811201020016000120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711 067,87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04811201030016000120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7 941 702,30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04811201040016000120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17 036 395,91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04811201050016000120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4 944,84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образующихся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сжигании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рассеивании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нефтяного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04811201070016000120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162 527,91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охотхозяйственных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04811209000016000120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489 843,13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04811625081016000140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05211205010016000120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1 804 703,12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1 383 219,80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05311204012016000120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85 284 132,76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05311625071016000140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1 579 781,51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668 463,48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08111402013016000410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14 219,00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40 995,02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фельдъегерской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08911301090016000130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1 220 799,00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10011103060016000120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412 136,99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415 467,93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397 024,19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42 046,57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Невыясненные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10011701010016000180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18 390 222,39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несвоевременное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10020801000010000180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1 858 793 007,00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осуществляющих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10610807171011000110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53 871,81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627 268,55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150116190000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13 189 511,21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36 962,40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экспортного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15111605000016000140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2 586 225,57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447 769,40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59 280,47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74 098,60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13 967,53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15711301040016000130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1 963 351,89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рассмотрение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ходатайств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16110807090011000110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3 540 489,83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178 534,90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приходящейся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складочных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товариществ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принадлежащим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24 360 183,50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16711105021016000120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27 807 677,60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1 088 841,96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7 238,70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16711105071016000120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1 734 513,96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28 263,39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16711402019016000440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432 564,16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заготовки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43 - 46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390 797,91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16711406021016000430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4 179 126,14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23 107,10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1 623 588,32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291 286,95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15 025,83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смешанного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воздушных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флагом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возобновление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17710807081010960110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ситуациям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стихийных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17711301140016000130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36 282 900,00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26 372,90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1 742 546,33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195 411,66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31 791,13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1 277 929,97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6 464 710,07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нецелевого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17711632000016000140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14 723,81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нецелевого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17711632000017000140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49 029,28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273 225 795,90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1 584 726,30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-1 088 390,55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2 250 940,38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-8 646,86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9 521 791,07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127 600,44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73 434,40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15 800 195,00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2 843,99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1 017 997,90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яющимися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найму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227.1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18210102040011000110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24 600 407,34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являющимися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найму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227.1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18210102040012000110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-145,35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5 649 572 283,47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51 001 413,41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26 679 622,19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24 775,00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18210301000015000110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-11 288 427,17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коньячного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кальвадосного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вискового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18210302011012000110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прямогонный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бензин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18210302042011000110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4 705 959,72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18210302060011000110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77 397 704,00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936 257 775,00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245 976 802,61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174 393,99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20 494,33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18210402100012000110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2 769 316 155,57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9 784 501,84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14 247 885,25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19 672,27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61 222,54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16 858,24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73 586 119,78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16 250 663,77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"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словосочетаний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834 710,00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подземных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18210903023011000110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древесину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отпускаемую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обязательствам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возникшим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18210903091011000110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горюче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смазочных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горюче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смазочных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18210908060011000140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47 655,77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730 090,73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117 105,19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5 365,80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18210909010015000110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-3 915,99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18211202030011000120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1 137 768,40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уплачиваемого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18211208000012000120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1 990 435 600,00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18211301010016000130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18211301020016000130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3 094 855,42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лифицированных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18211301190016000130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144 975,37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116, 118,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119.1,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125, 126, 128, 129, 129.1, 132, 133, 134, 135, 135.1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3 305 258,96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03030016000140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670 770,17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18 253,41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186 213,89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867 452,04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18711105031010600120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432 066,00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1 081 760,49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18711301991010600130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475 375,00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3 833 141,12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1 003 455,32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18711609000017000140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210 535,91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91 104,38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663 881,02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18711623012017000140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60 913,74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237 562,33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прошлых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18721801010010000151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723 083,20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113 350 066,06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2 626 080,00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295 126,74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18811301080017000130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290 582 219,05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застрахованным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страхования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18811301170017000130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14 764 785,89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18811301991010400130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3 722 501,27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176 223,98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247 069,39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356 426,27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-28 989 503,29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162 193,83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34 747,77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18811503010016000140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462 379,58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11 106 861,86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459 315,24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237 960,00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18811630011016000140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1 507 529,80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53 297,50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35 075,59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2 004 993,48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441 672,36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193 665,55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102 176,59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18911301050016000130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1 302 211,37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31 398,49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1 088 349,30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104 315,25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440 595,91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10 678 260,00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61 800 830,29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5 517 700,00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многократного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приглашения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1 118 220,00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4 611 700,00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9 255 275,37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3 438 895,53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21 492,78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1 481 055,82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711 156,85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663 900,58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2 988 519,99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183 289,80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19211640000016028140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12 711 065,98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1 059 838,33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160 604,70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67 454,98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1 277 737,57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161 518,95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11 639,88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6 540 823,00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4 306 498,01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32011301150017000130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43 454 847,82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8 080 340,26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1 013 564,04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243 022,82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516 223,92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551 018,62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7 538 829,48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256 174,10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471 044,60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готовой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32011411000017000440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264 004 702,28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951 639,10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139 916,50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348 856,42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удерживаемых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32011703000017000180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41 817 053,99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32011708000017000180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73 624,43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167 298 888,93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зарегистрированных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выражающих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односторонних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письменной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32111301030016000130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11 081 043,82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97 927,22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2 079 411,87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779 486,63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32211302991016016130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73 292,94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32211501010016000140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63 674 887,05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13 918 154,41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968 181,33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6 637 033,62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47 217,22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43 083,41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востребованных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должником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истечении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32211705010016016180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709 048,63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16 849,52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5 072 257,03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11 378 485,04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64 472,28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1 164 314,31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29 584,08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3 306 200,00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2 302 800,52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330 613,00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эмиссионных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99910807040011000110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99911614000016000140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19695D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1969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Расходы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5 352 178 256,51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4 279 357 492,61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4 279 357 492,61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04806031219999244340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109 136,43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109 136,43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12 557 900,00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9 033 185,78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9 033 185,78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2 425 638,17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2 425 638,17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17 917,54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17 917,54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96 639,10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96 639,10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143 081,21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143 081,21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242 459,57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242 459,57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259 510,80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259 510,80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127 919,95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127 919,95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639 991,56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639 991,56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100 084,90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100 084,90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536 764,11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536 764,11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288 211,00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178 101,38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178 101,38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598 174,00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415 545,30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415 545,30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65 332,15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65 332,15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201 249,40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201 249,40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88 651,00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88 651,00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40 019,90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40 019,90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04807051252040244226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29 030,40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82 520,91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210 318,75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165 447,31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165 447,31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517 010,34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479 126,34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479 126,34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68 575,00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630 383,56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956 728,70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829 728,70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829 728,70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85 526,99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75 188,86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75 188,86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2 937 244,59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2 401 546,21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2 401 546,21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351 451,33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322 446,25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322 446,25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883 164,83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712 044,93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712 044,93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786 654,70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381 647,30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334 162,30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334 162,30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3 725 902,40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3 045 377,59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3 045 377,59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1 125 223,16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921 576,22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921 576,22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6 188,33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6 188,33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104 560,50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104 560,50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158 940,00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10 533,89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10 533,89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24 171 370,00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19 919 337,42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19 919 337,42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7 164 170,00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5 929 034,48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5 929 034,48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125 818,33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125 818,33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255 842,17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255 842,17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363 194,51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363 194,51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306 165,80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306 165,80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394 913,20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394 913,20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209 026,60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209 026,60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252 130,42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252 130,42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370 723,73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370 723,73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483 131,40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483 131,40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472 178,36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472 178,36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2 005 341,94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2 005 341,94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3 345,26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3 345,26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58 184,11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58 184,11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08107052562040244226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37 672 400,00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22 536 238,00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22 536 238,00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65 910 400,00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47 926 178,00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47 926 178,00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61 145 400,00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55 137 452,00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55 137 452,00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238 379 600,00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228 145 300,00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228 145 300,00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17 581 440,00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17 581 440,00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34 959 400,00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75 490 100,00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53 968 778,00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53 968 778,00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881 028,00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881 028,00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881 028,00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08204052535050521251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08204052535052521251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3 161 600,00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158 400 600,00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147 547 732,95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147 547 732,95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5 477 099,84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5 477 099,84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30 007 817,65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30 007 817,65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08205022575018522251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30 255 000,00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11 050 300,00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7 486 540,00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7 486 540,00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08210032575018521251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1 495 778,15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1 495 778,15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497 420,12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497 420,12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10 515,60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13 329 864,00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11 073 835,95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11 073 835,95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213 942,00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189 326,00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189 326,00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74 439,00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130 032,55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130 032,55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84 755,00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13 840,73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156 480,27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105 363,75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105 363,75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270 779,00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178 275,00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178 275,00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2 336,88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64 141,94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64 141,94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151 177,59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151 177,59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231 523,00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150 190,34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150 190,34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403 064,54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403 064,54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66 181,81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66 181,81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7 207 060,00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5 499 108,61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5 499 108,61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2 120 550,00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1 598 886,80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1 598 886,80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14 161,29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14 161,29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170 240,20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170 240,20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59 370,00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169 557,50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169 557,50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675 362,34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675 362,34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272 182,30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235 382,00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235 382,00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123 284,00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118 051,00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71 216,00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61 747,20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61 747,20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262 042,22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262 042,22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223 419,13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223 419,13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1 190 060,00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869 434,62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869 434,62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302 461,28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302 461,28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2 505 210,00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1 867 883,99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1 867 883,99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313 141,01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313 141,01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12 272,63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12 272,63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141 574 000,00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115 553 393,72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115 553 393,72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33 233 664,00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33 233 664,00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180 288,40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180 288,40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321 717,00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321 717,00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38 143,89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38 143,89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1 365 526,66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1 365 526,66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622 791,55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622 791,55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725 133,90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725 133,90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769 640,03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769 640,03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1 074 751,71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1 074 751,71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1 137 933,88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1 137 933,88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72 922,39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72 922,39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296 370,99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296 370,99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45 643,20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45 643,20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11 343 800,00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8 185 266,51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8 185 266,51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1 406 231,64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1 406 231,64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10 679 000,00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6 301 304,39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6 301 304,39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569 774,46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569 774,46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289 729,97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289 729,97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2 121 946,11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2 121 946,11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8 625 100,00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8 601 624,00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8 601 624,00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471 937,61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471 937,61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17 815,04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17 815,04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10007053922040244226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10010030313002244221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1 537,21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10010030313002313262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17 297 637,28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17 297 637,28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17 297 637,28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10010030313005313262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64 186,20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64 186,20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64 186,20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10010030313006313262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1 750 696,95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1 750 696,95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1 750 696,95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10010040333003313262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5 789 590,22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5 789 590,22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5 789 590,22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6 004 610,00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4 823 721,34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4 823 721,34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1 781 269,20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1 423 044,24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1 423 044,24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30 459,80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22 596,30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22 596,30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22 596,30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23 718,60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134 270,90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95 447,98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95 447,98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29 234,50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14 216,72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14 216,72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133 964,00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71 105,60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71 105,60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40 502,65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185 341,86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34 695,49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508 482,48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232 427,77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181 053,93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181 053,93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2 135 209,51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173 284,15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173 284,15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435 910,24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350 245,58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350 245,58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135 520,50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780 738,25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771 538,25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771 538,25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487 801,25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417 801,25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417 801,25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13 034,63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13 034,63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10607052452040244220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108 864,00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822 270,08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822 270,08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618 212,61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618 212,61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90 375,94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90 375,94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365 981,14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365 981,14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796 338,09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796 338,09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842 460,96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842 460,96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145 276,74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145 276,74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4 385 900,00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1 854 649,78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1 854 649,78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2 506 466,39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2 506 466,39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2 463 600,00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1 765 911,31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1 765 911,31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33 343 479,82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33 343 479,82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13 012 200,00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9 990 767,39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9 990 767,39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15 891,93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15 891,93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163 564,70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163 564,70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199 944,98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199 944,98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61 493,44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61 493,44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37 411 519,05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37 411 519,05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13 331 000,00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10 411 445,46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10 411 445,46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75 496,20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75 496,20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111 468,00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111 468,00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589 747,33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589 747,33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73 474,10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73 474,10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1 743 900,00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68 702,36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68 702,36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869 246,90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869 246,90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8 930 705,72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8 930 705,72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326 146,52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326 146,52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455 006,31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455 006,31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782 756,03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782 756,03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683 670,76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683 670,76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52 525,88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52 525,88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14910030335380530251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288 815 800,00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288 815 800,00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288 815 800,00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14910030425280530251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38 157,09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38 157,09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14910040335270530251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8 092 707,00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6 134 615,71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6 134 615,71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2 359 476,00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1 811 894,75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1 811 894,75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123 107,80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123 107,80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304 930,00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304 930,00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248 269,45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248 269,45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1 996 020,00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214 427,00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214 427,00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176 669,00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176 669,00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225 743,58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225 743,58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83 698,30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83 698,30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663 062,04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345 066,18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345 066,18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986 776,84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986 776,84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310 448,55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310 448,55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32 136,67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33 960,87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33 960,87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10 626 431,00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8 843 309,42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8 843 309,42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3 209 249,00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2 619 692,18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2 619 692,18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148 962,00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60 545,00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60 545,00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493 862,10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458 245,00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458 245,00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159 520,00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116 146,38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116 146,38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356 663,20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221 804,20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221 804,20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39 694,31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39 694,31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298 498,30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207 648,54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207 648,54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11 729,20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11 729,20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644 425,70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389 438,11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389 438,11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375 117,50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158 516,79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158 516,79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475 114,40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282 468,77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282 468,77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109 082,00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109 082,00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33 315,81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33 315,81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66 976 000,00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57 305 044,93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57 305 044,93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18 335 580,66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18 335 580,66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1 285 976,00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1 285 976,00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4 739 100,00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3 615 140,00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3 615 140,00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151 415,52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151 415,52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48 650 900,00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38 890 425,71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38 890 425,71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187 317,55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187 317,55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1 071 701,45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1 071 701,45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31 435,20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31 435,20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2 931 218,41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2 931 218,41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112 286,83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112 286,83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707 946,57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707 946,57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870 861,40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870 861,40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786 015,83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786 015,83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1 837 178,56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1 837 178,56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234 503,39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234 503,39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4 193 410,00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2 966 418,66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2 966 418,66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4 269 590,00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2 309 062,34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2 309 062,34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4 287 800,00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3 120 863,57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3 120 863,57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360 596,02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360 596,02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861 093,20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861 093,20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5 540,32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5 540,32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349 749,00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349 749,00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15307052752040244226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35 058,40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15310030543589322262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2 641 410,00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7 169 713,73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7 169 713,73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2 137 951,86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2 137 951,86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55 013,90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55 013,90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107 316,50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107 316,50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78 055,96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78 055,96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28 895,20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28 895,20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425 456,21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425 456,21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317 801,00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317 801,00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311 365,67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311 365,67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887 377,41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887 377,41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152 263,73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152 263,73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91 105,99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91 105,99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93 113,80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93 113,80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7 097 029,00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4 250 458,81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4 250 458,81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2 143 302,00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1 668 381,82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1 668 381,82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6 347,70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6 347,70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30 978,70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30 978,70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182 081,57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182 081,57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55 785,00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103 406,00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103 406,00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282 530,79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282 530,79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346 178,68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346 178,68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665 514,78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665 514,78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766 772,00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222 258,22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222 258,22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90 948,64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90 948,64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600 918,87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600 918,87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242 782,05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242 782,05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242 782,05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422 476 300,00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351 339 087,31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351 339 087,31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128 671 300,00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108 042 880,72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108 042 880,72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347 759,13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347 759,13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573 211,00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1 222 012,60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999 474,60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999 474,60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5 357 976,40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4 988 980,33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4 988 980,33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4 214,88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4 214,88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535 865,48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5 198 798,64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3 455 806,96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3 455 806,96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4 301 549,36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2 405 995,31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2 405 995,31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1 208 886,52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932 432,07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932 432,07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2 410 323,50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2 398 313,60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2 398 313,60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2 379 955,50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1 456 184,41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1 456 184,41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133 281,53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16 556 958,00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15 157 380,20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15 157 380,20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4 735 760,47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351 279,05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351 279,05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4 567 943,11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10 800 737,12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9 050 417,86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9 050 417,86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18 641 899,12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11 197 354,56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11 197 354,56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3 790 729,32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3 213 527,23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3 213 527,23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12 525 076,76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8 666 816,09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8 666 816,09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18 793 214,57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12 871 856,86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12 871 856,86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1 351 573,00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4 207 347,00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1 609 711,59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1 609 711,59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8 313 580,00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5 931 894,11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5 931 894,11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15 552 200,00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11 835 504,36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11 835 504,36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490 809,46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490 809,46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11 715,17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11 715,17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651 471,03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651 471,03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18207053942040244220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79 173,60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18207053942040244226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304 981,60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345 622,00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320 018,22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320 018,22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41 226,00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45 202 016,00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34 668 010,23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34 668 010,23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13 544 744,00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10 592 033,41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10 592 033,41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569 288,00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569 093,54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569 093,54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878 150,00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848 339,60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848 339,60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45 452 215,24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37 552 927,40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37 552 927,40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833 749,84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833 749,84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304 463,00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297 573,42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297 573,42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2 086 829,00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1 738 684,17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1 738 684,17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535 516,00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244 183,88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244 183,88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254 826,13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254 826,13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2 830 750,00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2 829 880,14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2 829 880,14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456 547,21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410 963,90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410 963,90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3 832 402,00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2 961 029,28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2 961 029,28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956 957,79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956 957,79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956 957,79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2 623 527,00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2 002 890,97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2 002 890,97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3 405 745,00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3 095 297,51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3 095 297,51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875 297,00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875 265,72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875 265,72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1 187 179,00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954 322,56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954 322,56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21 559,14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78 641,11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69 839,11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69 839,11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4 637 414,34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4 637 414,34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1 847 871,00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1 376 140,12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1 376 140,12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91 942,00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27 641,31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27 641,31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125 822,19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125 822,19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307 031,45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307 031,45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86 729,10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86 729,10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171 307,00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69 999,75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69 999,75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3 292 650,00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2 043 268,31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2 043 268,31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3 522 640,00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2 879 047,76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2 879 047,76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670 514,10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670 514,10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1 941 840,00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204 778,55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204 778,55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19203110723897323262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60 928,00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9 491,00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7 844,20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7 844,20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2 976,74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15 055,48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15 055,48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15 055,48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19203113332008360262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19203113332008360290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19207050722040244226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28 537,20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28 537,20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8 489 220,00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6 901 039,87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6 901 039,87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2 563 808,00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2 049 509,82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2 049 509,82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10 594,45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10 594,45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43 422,20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43 422,20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207 445,00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207 445,00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172 534,29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172 534,29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144 582,32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144 582,32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136 838,30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136 838,30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78 641,00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35 081,20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35 081,20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609 225,00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286 934,32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286 934,32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8 248 020,00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6 184 015,00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6 184 015,00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331 105,09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331 105,09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1 256 265,85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1 256 265,85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161 862,36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161 862,36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321 993,99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321 993,99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13 184,20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13 184,20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31807054252040244226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109 855 900,00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86 595 495,84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86 595 495,84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32 654 900,00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25 671 612,90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25 671 612,90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48 249,91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48 249,91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72 584,40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72 584,40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1 662 630,00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1 251 002,99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1 251 002,99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55 018,40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55 018,40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569 350,00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467 354,33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467 354,33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1 013 636,63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348 636,63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348 636,63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1 586 363,37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1 477 225,09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1 477 225,09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2 996 470,25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1 103 389,00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1 103 389,00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121 829,75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98 903,26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98 903,26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1 883 154,26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1 595 678,70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1 595 678,70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6 451 886,20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4 514 401,02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4 514 401,02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3 063 113,80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2 287 077,15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2 287 077,15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4 783 304,74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3 560 138,45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3 560 138,45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8 610 141,00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6 700 370,94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6 700 370,94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590 007,30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590 007,30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4 138 914,74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4 138 914,74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4 741 831,86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4 741 831,86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262 919,21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262 919,21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270 108 132,72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226 485 885,36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226 485 885,36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80 330 200,00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69 362 305,39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69 362 305,39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257 202,20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215 651,32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215 651,32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742 701,70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742 666,71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742 666,71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1 501 209,94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1 445 480,67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1 445 480,67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382 113,98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382 113,98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382 113,98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772 143,52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772 143,52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2 792 625,80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2 792 625,80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1 968 939,50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1 968 939,50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1 172 686,56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257 346,17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257 346,17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602 504,00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602 504,00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1 462 038,20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426 694,00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426 694,00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25 668 207,45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24 886 383,71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24 886 383,71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2 084 716,70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1 803 778,32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1 803 778,32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6 584 608,00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4 362 090,20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4 362 090,20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2 523 484,02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1 301 289,95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1 301 289,95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4 948 774,47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3 495 523,01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3 495 523,01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1 593 053,33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1 225 459,80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1 225 459,80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10 813 554,38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7 666 240,28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7 666 240,28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31 347,45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927 604,11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582 119,84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582 119,84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681 830,42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681 830,42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681 830,42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348 138 500,00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278 855 645,46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278 855 645,46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27 721 860,00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27 677 774,84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27 677 774,84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840 662,84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840 662,84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290 403,90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290 403,90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3 127 980,00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3 127 753,90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3 127 753,90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1 932 829,44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1 932 829,44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2 581 728,76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2 581 728,76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868 541,06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868 541,06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356 659,32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356 659,32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242 668,80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327 054,06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327 054,06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1 097 512,00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1 679 583,24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1 679 583,24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525 893,73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525 893,73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4 306 619,63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4 306 619,63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3 308 766,30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3 308 766,30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6 243 300,00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5 358 292,23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5 358 292,23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396 605,66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396 605,66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2 034 345,44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2 034 345,44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41505010543590412310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41507059192040244226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168 313 647,00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134 414 803,51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134 414 803,51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9 044 408,00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8 939 377,00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8 939 377,00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1 447 976,00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1 253 319,97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1 253 319,97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1 153 034,00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939 021,26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939 021,26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6 052 966,00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5 405 109,60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5 405 109,60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5 001 651,36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4 201 895,36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4 201 895,36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2 359 325,10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1 829 030,99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1 829 030,99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2 167 620,00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2 167 620,00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1 464 640,58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1 464 640,58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311 234,70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311 234,70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2 047 310,00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1 485 816,51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1 485 816,51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968 598,00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991 297,00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433 787,22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433 787,22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2 729 180,00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1 846 568,76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1 846 568,76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2 173 694,52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2 173 694,52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257 733,00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193 293,00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193 293,00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3 383 186,03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3 383 186,03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9 409 924,00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7 780 452,61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7 780 452,61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1 244 908,43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1 244 908,41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1 244 908,41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1 281 129,11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1 281 129,11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498 586,77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498 586,77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498 586,77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124 494,50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121 642,70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121 642,70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416 913 328,00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310 530 688,87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310 530 688,87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17 187 845,00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16 320 388,41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16 320 388,41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18 425 342,37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15 242 647,63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15 242 647,63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4 516 675,65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4 516 675,65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66 525,70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66 525,70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211 478,50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211 478,50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9 457,63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9 457,63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9 457,63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301 834,47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301 834,47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49 570,00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15 727,98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15 727,98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424 423,88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424 423,88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289 535,21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289 535,21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57 703,34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96 645,50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96 645,50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747 890,00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509 188,50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509 188,50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182 282,65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182 282,65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593 755,37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593 755,37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1 557 700,00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356 652,13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356 652,13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291 714,96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291 714,96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771 078,84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11 622,60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11 622,60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233 507 499,80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188 697 853,17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188 697 853,17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70 496 850,01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56 704 788,93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56 704 788,93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202 986,40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202 986,40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1 020 912,60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1 020 912,60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3 855 150,00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2 691 753,56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2 691 753,56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121 364,20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121 348,68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121 348,68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71 192,10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65 774,20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65 774,20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11 459 960,11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11 459 960,11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5 597 449,52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4 067 934,63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4 067 934,63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3 250 173,04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2 510 823,92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2 510 823,92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1 437 194,40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1 437 194,40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2 802 944,09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2 802 944,09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2 834 360,00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1 804 708,81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1 804 708,81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6 837 596,53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6 837 596,53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42 634 472,00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35 283 025,16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35 283 025,16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16 614 682,11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10 529 564,53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10 529 564,53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14 716 555,18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7 084 930,11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7 084 930,11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16 297 511,48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8 716 909,41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8 716 909,41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22 262,30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22 262,30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5 706 800,00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4 288 172,54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4 288 172,54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11 421 492,00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8 451 540,77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8 451 540,77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12 157,41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10 826 931,64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10 583 395,45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10 583 395,45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239 997,62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204 514,77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204 514,77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14 952 880,00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11 945 980,55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11 945 980,55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389 494,00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371 066,49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371 066,49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28 600 993,62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28 600 992,66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28 600 992,66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3 232 760,00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2 932 682,00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2 932 682,00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64 254,83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54 203,70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54 203,70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454 720,00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107 940 000,00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05019919999412310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43807059092040244226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310 464,00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310 464,00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144 473 064,00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121 877 649,99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121 877 649,99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1 873 760,00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1 842 878,00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1 842 878,00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43810039093019313263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164 969,50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136 432,83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136 432,83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43810039093035313263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43810039913583322262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2 911 020,00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кассового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/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11 275 223 219,64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</w:tbl>
    <w:p w:rsidR="00000000" w:rsidRDefault="0019695D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22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9695D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ФИНАНСИРОВАНИЯ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ДЕФИЦИТОВ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БЮДЖЕТОВ</w:t>
            </w:r>
          </w:p>
        </w:tc>
      </w:tr>
    </w:tbl>
    <w:p w:rsidR="00000000" w:rsidRDefault="0019695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админинстри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руемых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-1 504 960 055,15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-1 504 960 055,15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внутреннего</w:t>
            </w:r>
          </w:p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-945 802 969,71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-945 802 969,71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Предоставление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10001061003010000540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-2 300 000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-2 300 000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страны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выданных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работникам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власти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физическим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лицам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случаях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15301060800014800640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7 030,29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7 030,29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Средства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продажи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акций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форм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участия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капитале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16701060100010000630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внешнего</w:t>
            </w:r>
          </w:p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                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.710 +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.720)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-17 876 877 824,49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-17 876 877 824,49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-17 876 877 824,49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-17 876 877 824,49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17 876 877 824,49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17 876 877 824,49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10001050201010000610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17 876 877 824,49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17 876 877 824,49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.823+824)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-559 157 085,44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-559 157 085,44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(130800000, 130900000)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14 951 823 823,18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14 951 823 823,18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(121100000, 121200000)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-15 510 980 908,62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-15 510 980 908,62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196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</w:p>
        </w:tc>
      </w:tr>
    </w:tbl>
    <w:p w:rsidR="00000000" w:rsidRDefault="0019695D">
      <w:pPr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000000">
      <w:footerReference w:type="default" r:id="rId7"/>
      <w:pgSz w:w="11900" w:h="16820"/>
      <w:pgMar w:top="560" w:right="160" w:bottom="560" w:left="340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19695D">
      <w:pPr>
        <w:spacing w:after="0" w:line="240" w:lineRule="auto"/>
      </w:pPr>
      <w:r>
        <w:separator/>
      </w:r>
    </w:p>
  </w:endnote>
  <w:endnote w:type="continuationSeparator" w:id="0">
    <w:p w:rsidR="00000000" w:rsidRDefault="0019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695D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55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  <w:p w:rsidR="00000000" w:rsidRDefault="0019695D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478"/>
      <w:rPr>
        <w:rFonts w:ascii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19695D">
      <w:pPr>
        <w:spacing w:after="0" w:line="240" w:lineRule="auto"/>
      </w:pPr>
      <w:r>
        <w:separator/>
      </w:r>
    </w:p>
  </w:footnote>
  <w:footnote w:type="continuationSeparator" w:id="0">
    <w:p w:rsidR="00000000" w:rsidRDefault="00196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B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7E6405C4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9695D"/>
    <w:rsid w:val="0019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23949</Words>
  <Characters>136514</Characters>
  <Application>Microsoft Office Word</Application>
  <DocSecurity>0</DocSecurity>
  <Lines>1137</Lines>
  <Paragraphs>320</Paragraphs>
  <ScaleCrop>false</ScaleCrop>
  <Company/>
  <LinksUpToDate>false</LinksUpToDate>
  <CharactersWithSpaces>160143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obu14</dc:creator>
  <dc:description>Generated by Oracle BI Publisher 10.1.3.4.1</dc:description>
  <cp:lastModifiedBy>obu14</cp:lastModifiedBy>
  <cp:revision>2</cp:revision>
  <dcterms:created xsi:type="dcterms:W3CDTF">2014-11-18T06:27:00Z</dcterms:created>
  <dcterms:modified xsi:type="dcterms:W3CDTF">2014-11-18T06:27:00Z</dcterms:modified>
</cp:coreProperties>
</file>